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12 300 / 47 vom 14. März 2013</w:t>
      </w:r>
    </w:p>
    <w:p>
      <w:r>
        <w:t>BL Gerichte, 2013-03-14, DE</w:t>
      </w:r>
    </w:p>
    <w:p>
      <w:r>
        <w:rPr>
          <w:b/>
        </w:rPr>
        <w:t xml:space="preserve">Quelle: </w:t>
      </w:r>
      <w:r>
        <w:t>https://mcp.opencaselaw.ch/entscheid/bl_gerichte_720 12 300 _ 47</w:t>
      </w:r>
    </w:p>
    <w:p>
      <w:r>
        <w:t>FR: BL_GERICHTE 720 12 300 / 47 du 14 mars 2013</w:t>
      </w:r>
    </w:p>
    <w:p>
      <w:r>
        <w:t>IT: BL_GERICHTE 720 12 300 / 47 del 14 marzo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3. Oktober 2012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H.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30. August 2012)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der gemischten Methode bemessen, was von der Beschwerdeführerin - zu Recht - nicht bestritten wird. Die IV-Stelle ist bei der Festlegung der Anteile der Erwerbstätigkeit und der Haushalttätigkeit davon ausgegangen, dass die Versicherte ohne gesundheitliche Beeinträchtigungen weiterhin - wie seit Aufnahme ihrer Tätigkeit im Spital B. im Jahr 1980 - in einem Pensum von 80 % erwerbstätig und zu 20 % für den Haushalt besorgt wäre. Diese Festlegung der Anteile der Erwerbs- und der Haushalttätigkeit ist nicht zu beanstanden; sie wird denn auch von der Beschwerdeführerin nicht in Frage gestellt.</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6.1.1. In ihrer ersten Rentenverfügung vom 3. Juni 2009 hatte die IV-Stelle bei der Beurteilung des medizinischen Sachverhaltes auf das polydisziplinäre Gutachten der Abklärungsstelle D. vom 9. Januar 2007 abgestellt. Darin hielten die beteiligten Fachärzte als Diagnosen mit Einfluss auf die Arbeitsfähigkeit ein chronisches Zervikalsyndrom bei degenerativen HWS-Veränderungen (ICD-10: M50.3), ein chronisches Lumbovbertebralsyndrom bei degenerativen LWS-Veränderungen (ICD-10: M51.3), eine leichte depressive Episode (ICD10: F32.0) und eine Somatisierungsstörung (ICD-10: F45.0) fest. Als Diagnosen ohne Einfluss auf die Arbeitsfähigkeit wurden ein Verdacht auf eine funktionelle Bewegungsstörung (ICD-10: F44.4) und eine mögliche, bisher nicht klassifizierbare Autoimmunkrankheit des zentralen Nervensystems genannt. In Bezug auf die Arbeitsfähigkeit der Versicherten kamen die Gutachter der Abklärungsstelle D. in ihrer interdisziplinären Gesamtbeurteilung zum Schluss, dass der Versicherten aufgrund der neurologischen Diagnosen mit chronischem Zervikal- und Lumbovertebralsyndrom bei degenerativen Veränderungen keine schweren Tätigkeiten mehr zumutbar seien. Darunter falle auch die angestammte Tätigkeit als Krankenschwester, da dabei doch eine erhebliche Gewichtsbelastung bestehe. Eine leichte Tätigkeit ohne das Heben und Tragen schwerer Lasten von mehr als 10 kg sei der Explorandin aus neurologischer Sicht zu 60 % zumutbar. Die Diagnosen der leichten depressiven Episode und der Somatisierungsstörung schränkten die Arbeitsfähigkeit aus psychiatrischer Sicht um 20 % ein. Die Arbeitsfähigkeit aus neurologischer und psychiatrischer Sicht ergänzten sich, da bei der zumutbaren Arbeitsfähigkeit von 60 % auch die durch die psychischen Leiden bedingte, leicht verminderte Belastbarkeit berücksichtigt sei. Somit bestehe gemäss dem polydisziplinären Konsensus in einer leidensadaptierten Tätigkeit eine Arbeitsfähigkeit von 60 %. 6.1.2. Nachdem die Versicherte gegen die genannte Rentenverfügung vom 3. Juni 2009 Beschwerde erhoben hatte, gelangte das Kantonsgericht mit Urteil vom 2. Dezember 2009 zur Auffassung, dass der medizinische Sachverhalt zusätzlicher Abklärungen bedürfe. Es könne, so das Kantonsgericht damals, nicht ausgeschlossen werden, dass im Gutachten der Abklärungsstelle D. den Bewegungsstörungen der Explorandin insoweit zu wenig Rechnung getragen worden sei, als gestützt auf die damaligen Momentangaben der Versicherten von einem stationären Zustand mit geringen Einschränkungen ausgegangen worden sei. Ob Episoden mit grösseren Beschwerden vorhanden sind, hätten die Gutachter der Abklärungsstelle D. nicht abschliessend beurteilen können, sondern es sei diesbezüglich auf allenfalls notwendige weitere Abklärungen verwiesen worden. Das Kantonsgericht hob deshalb die damals angefochtene Verfügung vom 3. Juni 2009 auf und wies die Angelegenheit zur weiteren Abklärung des medizinischen Sachverhaltes an die IV-Stelle zurück. 6.2.1. In Nachachtung dieses Urteils gab die IV-Stelle zur Abklärung des Gesundheitszustandes und der Arbeitsfähigkeit der Versicherten bei der der Abklärungsstelle C. ein polydisziplinäres Gutachten in Auftrag, welches in der Folge am 22. September 2010 erstattet wurde. Darin halten die beteiligten Fachärzte folgende Diagnosen mit Einfluss auf die Arbeitsfähigkeit fest: (1) ein Sjögren-Syndrom (ED 09/2007; ICD-10 M35.0), (2) eine Bewegungsstörung unklarer Ätiologie mit intermittierendem Zittern und Schwankbewegungen beim Stehen und Gehen (ICD-10: R25.8; DD: Funktionell, neuropsychiatrisch im Rahmen einer ZNS-Manifestation im Rahmen des Sjögren-Syndroms nicht auszuschliessen), (3) ein chronisches zervikozephales und lumbovbertebrales Schmerzsyndrom (ICD-10 M53.0, M54.8) mit/bei (3.1) klinisch keinen Hinweisen für eine radikuläre sensomotorische Ausfallssymptomatik; (3.2) einer medialen Diskushernie C5/6 und Diskusprotrusion L5/S1 (MRI vom 18.07.2009 bzw. vom 23.06.2004 und CT LWS vom 22.09.2004) sowie (4) einer Dysthymia (ICD-10 F34.1; DD: organische affektive Störung (ICD-10: F06.3). 6.2.2. Mit dem Gutachten der Abklärungsstelle C. vom 22. September 2010 liegt nunmehr zwar eine vertiefte polydisziplinäre Abklärung des Gesundheitszustandes vor, in welcher die verschiedenen gesundheitlichen Beschwerden der Versicherten berücksichtigt werden. Letztlich konnten allerdings auch die Gutachter der Abklärungsstelle C. die Ursache der vorhandenen Bewegungsstörung nicht abschliessend klären. Diese sei, so die beteiligten Experten, am ehesten im Rahmen einer funktionellen Störung zu sehen. Eine zentralnervöse Beteiligung des diagnostizierten Sjögren-Syndroms könne nicht ausgeschlossen, aber eben auch nicht „mit annähernder Sicherheit“ bejaht werden. Der über die Jahre stabile Verlauf widerspreche einem relevanten progredienten Geschehen. Somit bleibe der somatische Anteil an den Beschwerden auch zum aktuellen Zeitpunkt undefinierbar gross, es sei aber zu vermuten, dass dieser gesamthaft eher klein sei. Als Erklärung bliebe demnach eine psychiatrische Genese: Die schon früher geäusserte Vermutung einer psychischen Überlagerung könne aktuell, wie bereits in den Voruntersuchungen, aber nicht eindeutig bestätigt werden, dies vor allem deshalb, weil die Versicherte psychiatrisch - beispielsweise bezüglich eines hysteriformen Anteils - nicht explorierbar sei. Dies sei eventuell kulturell bedingt, weil die Möglichkeit des Vorliegens einer psychischen Erkrankung oder die Mitbeteiligung einer solchen für die Explorandin inakzeptabel sei. Allenfalls liege aber auch eine eingeschränkte Introspektionsfähigkeit vor. 6.2.3 Auch wenn die Ursache der vorhandenen Bewegungsstörung nach dem Gesagten im Rahmen der erneuten Begutachtung unklar geblieben ist, lassen sich - wie weiter unten aufzuzeigen sein wird (vgl. E. 6.3 hiernach) - die Auswirkungen der festgestellten gesundheitlichen Beeinträchtigungen auf die Arbeitsfähigkeit gestützt auf die vorhandene medizinische Aktenlage durchaus abschliessend beurteilen. Unter diesen Umständen erübrigt es sich aber, der Ursache der Bewegungsstörung weiter nachzugehen, zumal es ohnehin mehr als fraglich erscheint, ob weitere fachärztliche Untersuchungen diesbezüglich überhaupt eine Klärung bringen könnten. 6.2.4 Zu einer vom Gutachten der Abklärungsstelle C. abweichenden Beurteilung des (psychischen) Gesundheitszustandes der Versicherten gelangt der behandelnde Psychiater Dr. med. E. in seinem Bericht vom 14. September 2012. Darin diagnostiziert dieser bei seiner Patientin eine mittelgradige depressive Episode mit somatischem Syndrom und eine anhaltende somatoforme Schmerzstörung. Er unterlässt es aber, diese Diagnosen weiter zu begründen, und man kann sich denn auch des Eindrucks nicht gänzlich erwehren, dass er sich im Wesentlichen darauf beschränkt, die subjektive Beschwerdeschilderung seiner Patientin wiederzugeben. Die geklagten Beschwerden sind den Gutachtern der Abklärungsstelle C. weitestgehend bekannt gewesen und diese haben sich umfassend damit auseinandergesetzt. Anhaltspunkte, wonach sich aus der gutachterlich festgestellten Dysthymie zwischenzeitlich die von Dr. E. diagnostizierte mittelgradige depressive Episode entwickelt haben soll, fehlen, sodass diesbezüglich keine Veranlassung besteht, von den Befunden der Gutachter der Abklärungsstelle C. abzuweichen. Zudem ist zu vermuten, dass Dr. E. die bisherige Krankengeschichte nur aus den Schilderungen seiner Patientin bekannt gewesen ist und dass er insbesondere keine Kenntnis von den vorhandnen, differenzierten polydisziplinären Gutachten gehabt hat. Dem Standpunkt des behandelnden Arztes kommt deshalb auch aus diesem Grund ein geringerer Beweiswert zu als den ausführlich begründeten gutachterlichen Beurteilungen des Gesundheitszustandes. 6.3.1. In Bezug auf die weitere Frage der Arbeitsfähigkeit der Versicherten führen die Fachärzte der Abklärungsstelle C. im Gutachten vom 22. September 2010 aus, für die angestammte Tätigkeit als Pflegefachfrau bestehe auf Grund der Bewegungsstörung eine volle Arbeitsunfähigkeit. Dasselbe gelte generell für sämtliche körperlich schweren Arbeiten. Für eine Verweistätigkeit „mit vereinzelt mittelschweren Anteilen“ bestehe eine 50 %-ige und für eine körperlich leichte Tätigkeit eine 80 %-ige Arbeitsfähigkeit, wobei Arbeiten auf Leitern oder das Bedienen gefährlicher Maschinen vermieden werden sollten. In seiner Stellungnahme vom 17. Februar 2011 zum asim-Gutachten vertritt Dr. med. F. , Allgemeine Medizin FMH, Regionaler Ärztlicher Dienst (RAD) beider Basel, die Auffassung, dass die gutachterlichen Schlussfolgerungen zur Arbeitsfähigkeit in zumutbaren Verweistätigkeiten nicht durchgehend begründet seien. Er empfehle deshalb, für körperlich leichte Verweistätigkeiten und für solche mit vereinzelt mittelschweren Anteilen von einer 50 %-igen Arbeitsunfähigkeit seit dem 29. Januar 2004 auszugehen. 6.3.2. Der Einwand des RAD-Arztes, wonach die gutachterliche Annahme einer 80 %-igen Arbeitsfähigkeit für körperlich leichte Verweistätigkeiten nicht hinreichend begründet sei, lässt sich nicht von der Hand weisen. Anderseits kann aber - entgegen der Auffassung der IV-Stelle -diesbezüglich auch nicht auf die Einschätzung von Dr. F. abgestellt werden, wonach für solche Tätigkeiten von einer 50 %-igen Arbeitsunfähigkeit auszugehen sei, unterlässt es doch auch der RAD-Arzt, seine abweichende Beurteilung einlässlich und nachvollziehbar zu begründen. Es stellt sich deshalb die Frage, ob der medizinische Sachverhalt in diesem Punkt zusätzlicher Abklärungen bedarf. Davon kann jedoch aus den nachfolgenden Überlegungen abgesehen werden: Im Gutachten der Abklärungsstelle D. vom 9. Januar 2007 waren die Fachärzte zur Auffassung gelangt, dass der Explorandin eine leichte Verweistätigkeit ohne das Heben und Tragen schwerer Lasten von mehr als 10 kg aus neurologischer Sicht zu 60 % zumutbar sei. Das Kantonsgericht hatte zwar in seinem ersten in dieser Angelegenheit ergangenen Urteil vom 2. Dezember 2009 dem genannten Gutachten der Abklärungsstelle D. keinen ausschlaggebenden Beweiswert beigemessen, da es bezüglich Ursache und Ausmass der vorhandenen Bewegungsstörung der Explorandin noch Abklärungsbedarf sah. Das zwischenzeitlich eingeholte Gutachten der Abklärungsstelle C. vom 22. September 2010 hat nunmehr insoweit eine Klärung gebracht, als in Bezug auf die Bewegungsstörung von einer seit Jahren unveränderten Situation, d.h. von einem über die Jahre stabilen Verlauf bzw. von einer seit Jahren fehlenden Progredienz auszugehen ist. Die aus diesen zusätzlichen, neuen Abklärungen gewonnenen Erkenntnisse lassen durchaus den Schluss zu, dass sich auch die Auswirkungen der Bewegungsstörung auf die Arbeitsfähigkeit seit der damaligen Begutachtung durch die Abklärungsstelle D. nicht verändert haben. Im Ergebnis rechtfertigt es sich deshalb, weiterhin von der damals angenommenen 60 %-igen Arbeitsfähigkeit der Versicherten in der Ausübung einer leichten Verweistätigkeit ohne Heben und Tragen schwerer Lasten von mehr als 10 kg auszugehen. 6.4 Lassen die vorhandenen medizinischen Unterlagen nach dem Gesagten eine zuverlässige Beurteilung des aktuellen Gesundheitszustandes und der Arbeitsfähigkeit der Versicherten zu, so kann auf die von ihr in verfahrensrechtlicher Hinsicht beantragte Einholung eines „medizinischen Obergutachtens“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w:t>
      </w:r>
    </w:p>
    <w:p>
      <w:r>
        <w:rPr>
          <w:b/>
        </w:rPr>
        <w:t>E. 7</w:t>
      </w:r>
    </w:p>
    <w:p>
      <w:r>
        <w:t>Wie bereits weiter oben ausgeführt (vgl. E. 3.2 hiervor), ist gemäss Art. 16 ATSG der Invaliditätsgrad bei erwerbstätigen Versicherten aufgrund eines Einkommensvergleichs zu bestimmen. Dasselbe gilt im Rahmen der gemischten Methode der Invaliditätsbemessung für die Ermittlung des Invaliditätsgrades im Erwerbsbereich.</w:t>
      </w:r>
    </w:p>
    <w:p>
      <w:r>
        <w:rPr>
          <w:b/>
        </w:rPr>
        <w:t>E. 7.1</w:t>
      </w:r>
    </w:p>
    <w:p>
      <w:r>
        <w:t>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EVG vom 26. November 2002, I 491/01, E. 2.3.1 mit zahlreichen Hinweisen). Vorliegend kann angenommen werden, dass die Beschwerdeführerin ohne Gesundheitsbeeinträchtigungen weiterhin ihrer jahrelang ausgeübten (Teilzeit-) Tätigkeit als diplomierte Pflegefachfrau im Spital B. nachgehen würde. Gestützt auf die bei den Akten liegenden Angaben des Spitals B. hätte die Versicherte im Jahr 2005 in dieser Tätigkeit ein Einkommen von Fr. 78'328.-- erzielen können. Die IV-Stelle hat dem Einkommensvergleich diesen Betrag als Valideneinkommen zu Grunde gelegt, was von der Beschwerdeführerin denn auch - zu Recht - nicht in Frage gestellt wird.</w:t>
      </w:r>
    </w:p>
    <w:p>
      <w:r>
        <w:rPr>
          <w:b/>
        </w:rPr>
        <w:t>E. 7.2</w:t>
      </w:r>
    </w:p>
    <w:p>
      <w:r>
        <w:t>Da die Versicherte seit Eintritt der Gesundheitsschädigung keine zumutbare leidensangepasste Tätigkeit ausübt, hat die IV-Stelle das Invalideneinkommen richtigerweise unter Bei-zug der der Tabellenlöhne der Schweizerischen Lohnstrukturerhebung (LSE) des Bundesamtes für Statistik ermittelt (vgl. dazu BGE 126 V 76 E. 3b/bb mit Hinweisen und 124 V 322 E. 3b/aa). Laut Tabelle TA1 der LSE 2004 belief sich der Zentralwert für die mit einfachen und repetitiven Aufgaben (Anforderungsniveau 4) beschäftigten Frauen im privaten Sektor im Jahre 2004 auf Fr. 3'893.-- (LSE 2004, Privater Sektor, Tabelle TA1, Frauen, Total Ziff. 01-93). Dabei ist zu beachten, dass dieser Tabellenlohn auf einer einheitlichen Arbeitszeit von 40 Wochenstunden beruht und für das Jahr 2005 auf die durchschnittliche Wochenarbeitszeit von 41,6 Stunden (vgl. Die Volkswirtschaft 12/2012 S. 90 Tabelle B 9.2) umzurechnen ist. Daraus resultiert ein Monatslohn von Fr. 4'048.70. Dieser Betrag ist der bis ins Jahr 2005 erfolgten Nominallohnentwicklung von + 1,1 % (Bundesamt für Statistik, Die Lohnentwicklung 2006, S. 31, Tabelle T1.2.93, Frauen, Total) anzupassen, was ein Invalideneinkommen von Fr. 4'093.25 pro Monat bzw. ein Jahresgehalt von Fr. 49'119.-- ergibt. Da die Versicherte laut den massgebenden medizinischen Unterlagen (vgl. E. 6.3 und 6.4 hiervor) in einer solchen Tätigkeit lediglich noch zu 60 % arbeitsfähig ist, resultiert für die Beschwerdeführerin grundsätzlich ein Invalideneinkommen von Fr. 29'471.-- (Fr. 49'119.-- x 60 %). Von dem auf diese Weise erhobenen statistischen Wert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Vorliegend hat die IV-Stelle in der angefochtenen Verfügung einen Abzug vom Tabellenlohn von 15 % vorgenommen, was sich in Würdigung der gegeben Umstände sowie in Berücksichtigung aller in Betracht fallenden Merkmale als angemessen erweist und denn auch von der Beschwerdeführerin nicht beanstandet wird. Nimmt man einen 15 %-igen Abzug vom Tabellenlohn vor, so resultiert daraus ein massgebendes Invalideneinkommen der Versicherten im Erwerbsbereich von Fr. 25'050.-- (Fr. 29’471.-- x 85 %).</w:t>
      </w:r>
    </w:p>
    <w:p>
      <w:r>
        <w:rPr>
          <w:b/>
        </w:rPr>
        <w:t>E. 7.3</w:t>
      </w:r>
    </w:p>
    <w:p>
      <w:r>
        <w:t>Setzt man im Einkommensvergleich dieses Invalideneinkommen von Fr. 25'050.-- dem Valideneinkommen von Fr. 78’328.-- (vgl. E. 7.1 hiervor) gegenüber, so resultiert daraus eine Erwerbseinbusse von Fr. 53'278.--, was für den Erwerbsbereich einen Invaliditätsgrad von 68,02 % ergibt. 8.1 Zur Ermittlung der Einschränkung im Haushaltsbereich hat die IV-Stelle eine Haushaltabklärung in Auftrag gegeben. Gemäss der bundesgerichtlichen Rechtsprechung stellt die in Art. 69 Abs. 2 IVV vorgesehene Abklärung an Ort und Stelle eine grundsätzlich geeignete und im Regelfall genügende Basis dafür dar, unter Berücksichtigung der konkreten Verhältnisse die Unmöglichkeit der versicherten Person festzustellen, sich im bisherigen Aufgabenbereich zu betätigen. Im Rahmen der Haushaltabklärung werden die im Haushalt anfallenden Arbeitsprozesse von einer qualifizierten Abklärungsperson, deren fachliche Kompetenz vorausgesetzt wird (vgl. dazu BGE 128 V 93 f. E. 4 und 130 V 62 f. E. 6.1 und 6.2), an Ort und Stelle einzeln besprochen und allfällige Einschränkungen werden im jeweiligen Bereich festgehalten. Von den Ergebnissen einer solchen Abklärung ist nur ausnahmsweise abzuweichen, handelt es sich doch bei der Einschätzung der Behinderungen im Rahmen eines Betätigungsvergleichs um einen Ermessensentscheid (vgl. BGE 114 V 316, 98 V 131). 8.2 Vorliegend ergab die Haushaltabklärung vor Ort gemäss Bericht vom 16. Februar 2012 eine Einschränkung von 30,95 %. Dieses Ergebnis wird von der Versicherten in ihrer Beschwerde nicht (mehr) in Frage gestellt. Da sich aus den Akten ebenfalls keine Anhaltspunkte für eine Unrichtigkeit der durch den Abklärungsdienst ermittelten Einschränkung im Haushaltbereich ergeben, kann an dieser Stelle ohne weitere Ausführungen vollumfänglich auf dessen Bericht verwiesen werden.</w:t>
      </w:r>
    </w:p>
    <w:p>
      <w:r>
        <w:rPr>
          <w:b/>
        </w:rPr>
        <w:t>E. 9</w:t>
      </w:r>
    </w:p>
    <w:p>
      <w:r>
        <w:t>In Anwendung der gemischten Methode der Invaliditätsbemessung ergibt sich auf Grund des Gesagten in Berücksichtigung der zeitlichen Beanspruchung von 80 % im Erwerbs- und von 20 % im Haushaltbereich bei einer Einschränkung im Haushaltbereich von 6,19 % (0,2 x 30,95 %) und einer solchen im Erwerbsbereich von 54,42 % (0,80 x 68,02 %) insgesamt ein Invaliditätsgrad in der Höhe von 60,61 % bzw. gerundet (vgl. zur Rundungspraxis: BGE 130 V 121 ff.) von 61 %. Bei einem Invaliditätsgrad von 61 % hat die Versicherte Anspruch auf eine Dreiviertelsrente. Die angefochtene Verfügung vom 30. August 2012, mit welcher die IV-Stelle der Versicherten ab 1. Juli 2005 - wenn auch gestützt auf einen Invaliditätsgrad von 65 % - eine Dreiviertelsrente zugesprochen hat, ist somit im Ergebnis nicht zu beanstanden. Die gegen diese Verfügung erhobene Beschwerde erweist sich nach dem Gesagten als unbegründet, weshalb sie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10.2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 Gegen diesen Entscheid wurde von der Beschwerdeführerin am 20.06.2013 Beschwerde beim Bundesgericht (siehe nach Vorliegen des Urteils: Verfahren-Nr. 9C_465/2013 )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